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 </w:t>
      </w:r>
      <w:r w:rsidR="00943F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ня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80" w:rsidRDefault="00943F80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43F80" w:rsidRDefault="00943F80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43F80" w:rsidRDefault="00943F80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43F80" w:rsidRDefault="00943F80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43F80" w:rsidRDefault="00943F80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07BC7" w:rsidRPr="00C07BC7" w:rsidRDefault="00C07BC7" w:rsidP="00C07BC7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lastRenderedPageBreak/>
        <w:t>Забалансовый счет 100 «Неисключительные права пользования на результаты интеллектуальной деятельности, срок действия которых составляет менее 12 месяцев»</w:t>
      </w:r>
    </w:p>
    <w:p w:rsid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1 января 2021 года неисключительные права на </w:t>
      </w:r>
      <w:hyperlink r:id="rId6" w:anchor="/document/113/3516/" w:tooltip="Интеллектуальная собственность – результат интеллектуальной деятельности или средство индивидуализации, права на которые охраняются законом (ст. 1225 ГК РФ).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интеллектуальную собственность</w:t>
        </w:r>
      </w:hyperlink>
      <w:r w:rsidRPr="00C07BC7">
        <w:rPr>
          <w:rFonts w:ascii="Times New Roman" w:hAnsi="Times New Roman" w:cs="Times New Roman"/>
          <w:lang w:eastAsia="ru-RU"/>
        </w:rPr>
        <w:t> по лицензионным и другим договорам уч</w:t>
      </w:r>
      <w:bookmarkStart w:id="0" w:name="_GoBack"/>
      <w:bookmarkEnd w:id="0"/>
      <w:r w:rsidRPr="00C07BC7">
        <w:rPr>
          <w:rFonts w:ascii="Times New Roman" w:hAnsi="Times New Roman" w:cs="Times New Roman"/>
          <w:lang w:eastAsia="ru-RU"/>
        </w:rPr>
        <w:t>итывайте по новым правилам (далее – неисключительные права на НМА). Основание – </w:t>
      </w:r>
      <w:hyperlink r:id="rId7" w:anchor="/document/99/563895829/XA00LUO2M6/" w:tooltip="Федеральный стандарт бухгалтерского учета государственных финансов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СГС «Нематериальные активы»</w:t>
        </w:r>
      </w:hyperlink>
      <w:r w:rsidRPr="00C07BC7">
        <w:rPr>
          <w:rFonts w:ascii="Times New Roman" w:hAnsi="Times New Roman" w:cs="Times New Roman"/>
          <w:lang w:eastAsia="ru-RU"/>
        </w:rPr>
        <w:t> и поправки к инструкциям по бухучету № 157н, № 162н, № 174н и № 183н.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Что изменилось: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1. Неисключительные права на НМА со сроком использования более 12 месяцев учитывайте на </w:t>
      </w:r>
      <w:hyperlink r:id="rId8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111.60</w:t>
        </w:r>
      </w:hyperlink>
      <w:r w:rsidRPr="00C07BC7">
        <w:rPr>
          <w:rFonts w:ascii="Times New Roman" w:hAnsi="Times New Roman" w:cs="Times New Roman"/>
          <w:lang w:eastAsia="ru-RU"/>
        </w:rPr>
        <w:t> «Права пользования нематериальными активами». Если срок – 12 месяцев и менее, затраты спишите. Читайте, </w:t>
      </w:r>
      <w:hyperlink r:id="rId9" w:anchor="/document/16/74154/dfasmmp7ii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нужно ли учитывать права по краткосрочным договорам за балансом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2. На счете 401.50 «Расходы будущих периодов» учитывайте расходы на неисключительные права на НМА со сроком 12 месяцев и менее, если срок действия договора выходит за пределы текущего года. Смотрите, </w:t>
      </w:r>
      <w:hyperlink r:id="rId10" w:anchor="/document/16/74154/dfasn8nfuf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Какими проводками учесть покупку неисключительных прав на нематериальные активы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3. Стоимость прав со сроком службы более 12 месяцев списывайте через амортизацию – счет 104.6Х «Амортизация прав пользования нематериальными активами». Для этого комиссия по поступлению и выбытию активов должна определить срок использования прав. Читайте – </w:t>
      </w:r>
      <w:hyperlink r:id="rId11" w:anchor="/document/16/74154/dfascl9yu5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 определить срок полезного использования на НМА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4. Убыток от обесценения неисключительных прав из-за снижения их стоимости учитывайте на счете 114.6X«Обесценение прав пользования нематериальными активами». Читайте – </w:t>
      </w:r>
      <w:hyperlink r:id="rId12" w:anchor="/document/16/72675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 обесценивать активы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5. Применяйте новые коды КОСГУ в 24–26-х разрядах счета – 111.6Х, 104.6Х, 114.6Х. Коды </w:t>
      </w:r>
      <w:hyperlink r:id="rId13" w:anchor="/document/99/555944502/XA00MFA2O5/" w:tooltip="352 Увеличение стоимости неисключительных прав на результаты интеллектуальной деятельности с не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352</w:t>
        </w:r>
      </w:hyperlink>
      <w:r w:rsidRPr="00C07BC7">
        <w:rPr>
          <w:rFonts w:ascii="Times New Roman" w:hAnsi="Times New Roman" w:cs="Times New Roman"/>
          <w:lang w:eastAsia="ru-RU"/>
        </w:rPr>
        <w:t> и </w:t>
      </w:r>
      <w:hyperlink r:id="rId14" w:anchor="/document/99/555944502/XA00MGC2OA/" w:tooltip="353 Увеличение стоимости неисключительных прав на результаты интеллектуальной деятельности с 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353</w:t>
        </w:r>
      </w:hyperlink>
      <w:r w:rsidRPr="00C07BC7">
        <w:rPr>
          <w:rFonts w:ascii="Times New Roman" w:hAnsi="Times New Roman" w:cs="Times New Roman"/>
          <w:lang w:eastAsia="ru-RU"/>
        </w:rPr>
        <w:t> используйте, когда принимаете права к учету. Коды </w:t>
      </w:r>
      <w:hyperlink r:id="rId15" w:anchor="/document/99/555944502/XA00MC22NC/" w:tooltip="452 Уменьшение стоимости неисключительных прав на результаты интеллектуальной деятельности с 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452</w:t>
        </w:r>
      </w:hyperlink>
      <w:r w:rsidRPr="00C07BC7">
        <w:rPr>
          <w:rFonts w:ascii="Times New Roman" w:hAnsi="Times New Roman" w:cs="Times New Roman"/>
          <w:lang w:eastAsia="ru-RU"/>
        </w:rPr>
        <w:t> и </w:t>
      </w:r>
      <w:hyperlink r:id="rId16" w:anchor="/document/99/555944502/XA00MBG2NJ/" w:tooltip="453 Уменьшение стоимости неисключительных прав на результаты интеллектуальной деятельности с не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453</w:t>
        </w:r>
      </w:hyperlink>
      <w:r w:rsidRPr="00C07BC7">
        <w:rPr>
          <w:rFonts w:ascii="Times New Roman" w:hAnsi="Times New Roman" w:cs="Times New Roman"/>
          <w:lang w:eastAsia="ru-RU"/>
        </w:rPr>
        <w:t> – когда права выбывают, начисляете амортизацию или проводите обесценение. Выбор кода зависит от срока использования права: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17" w:anchor="/document/99/555944502/XA00MFA2O5/" w:tooltip="352 Увеличение стоимости неисключительных прав на результаты интеллектуальной деятельности с определенным сроком полезного использования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352</w:t>
        </w:r>
      </w:hyperlink>
      <w:r w:rsidR="00C07BC7" w:rsidRPr="00C07BC7">
        <w:rPr>
          <w:rFonts w:ascii="Times New Roman" w:hAnsi="Times New Roman" w:cs="Times New Roman"/>
          <w:lang w:eastAsia="ru-RU"/>
        </w:rPr>
        <w:t> и </w:t>
      </w:r>
      <w:hyperlink r:id="rId18" w:anchor="/document/99/555944502/XA00MC22NC/" w:tooltip="452 Уменьшение стоимости неисключительных прав на результаты интеллектуальной деятельности с определенным сроком полезного использования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452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для прав с определенным сроком использования;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19" w:anchor="/document/99/555944502/XA00MGC2OA/" w:tooltip="353 Увеличение стоимости неисключительных прав на результаты интеллектуальной деятельности с неопределенным сроком полезного использования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353</w:t>
        </w:r>
      </w:hyperlink>
      <w:r w:rsidR="00C07BC7" w:rsidRPr="00C07BC7">
        <w:rPr>
          <w:rFonts w:ascii="Times New Roman" w:hAnsi="Times New Roman" w:cs="Times New Roman"/>
          <w:lang w:eastAsia="ru-RU"/>
        </w:rPr>
        <w:t> и </w:t>
      </w:r>
      <w:hyperlink r:id="rId20" w:anchor="/document/99/555944502/XA00MBG2NJ/" w:tooltip="453 Уменьшение стоимости неисключительных прав на результаты интеллектуальной деятельности с неопределенным сроком полезного использования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453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для прав с неопределенным сроком использования.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Чтобы перейти на новые правила учета, проведите инвентаризацию неисключительных прав на НМА по состоянию на 1 января 2021 года. По этим объектам комиссия по поступлению и выбытию активов определяет срок использования. Делают это исходя из срока действия прав, патента, свидетельства и других факторов. Подробнее – </w:t>
      </w:r>
      <w:hyperlink r:id="rId21" w:anchor="/document/16/74154/dfascl9yu5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 определить срок использования неисключительных прав на НМА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Права со сроком 12 месяцев и менее.</w:t>
      </w:r>
      <w:r w:rsidRPr="00C07BC7">
        <w:rPr>
          <w:rFonts w:ascii="Times New Roman" w:hAnsi="Times New Roman" w:cs="Times New Roman"/>
          <w:lang w:eastAsia="ru-RU"/>
        </w:rPr>
        <w:t> Неисключительные права со сроком службы на 1 января 2021 года 12 месяцев и менее спишите с забалансового счета 01. Расходы, которые числятся на </w:t>
      </w:r>
      <w:hyperlink r:id="rId22" w:anchor="/document/99/902249301/ZA00MJ82NV/" w:tooltip="Счет 40150 Расходы будущих периодо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401.50</w:t>
        </w:r>
      </w:hyperlink>
      <w:r w:rsidRPr="00C07BC7">
        <w:rPr>
          <w:rFonts w:ascii="Times New Roman" w:hAnsi="Times New Roman" w:cs="Times New Roman"/>
          <w:lang w:eastAsia="ru-RU"/>
        </w:rPr>
        <w:t>, спишите на финансовый результат текущего года. Например, срок пользования антивирусом заканчивается 31 декабря 2021 года – расходы спишите на счет 401.20 или 109.ХХ. Проводки сделайте первым рабочим днем 2021 года. Нужно ли организовать дополнительный забалансовый учет, читайте в </w:t>
      </w:r>
      <w:hyperlink r:id="rId23" w:anchor="/document/16/74154/dfasmmp7ii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рекомендации</w:t>
        </w:r>
      </w:hyperlink>
      <w:r w:rsidRPr="00C07BC7">
        <w:rPr>
          <w:rFonts w:ascii="Times New Roman" w:hAnsi="Times New Roman" w:cs="Times New Roman"/>
          <w:lang w:eastAsia="ru-RU"/>
        </w:rPr>
        <w:t>.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Права со сроком более 12 месяцев.</w:t>
      </w:r>
      <w:r w:rsidRPr="00C07BC7">
        <w:rPr>
          <w:rFonts w:ascii="Times New Roman" w:hAnsi="Times New Roman" w:cs="Times New Roman"/>
          <w:lang w:eastAsia="ru-RU"/>
        </w:rPr>
        <w:t> Неисключительные права со сроком службы на 1 января 2021 года более 12 месяцев примите на баланс на </w:t>
      </w:r>
      <w:hyperlink r:id="rId24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 111.60</w:t>
        </w:r>
      </w:hyperlink>
      <w:r w:rsidRPr="00C07BC7">
        <w:rPr>
          <w:rFonts w:ascii="Times New Roman" w:hAnsi="Times New Roman" w:cs="Times New Roman"/>
          <w:lang w:eastAsia="ru-RU"/>
        </w:rPr>
        <w:t> «Права пользования нематериальными активами» по справедливой стоимости. Справедливую стоимость определите в размере суммы, которая числится по активу на </w:t>
      </w:r>
      <w:hyperlink r:id="rId25" w:anchor="/document/99/902249301/ZA00MJ82NV/" w:tooltip="Счет 40150 Расходы будущих периодо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401.50</w:t>
        </w:r>
      </w:hyperlink>
      <w:r w:rsidRPr="00C07BC7">
        <w:rPr>
          <w:rFonts w:ascii="Times New Roman" w:hAnsi="Times New Roman" w:cs="Times New Roman"/>
          <w:lang w:eastAsia="ru-RU"/>
        </w:rPr>
        <w:t>. С забалансового счета 01 такие права спишите. Проводки сделайте в 2021 году. Смотрите, </w:t>
      </w:r>
      <w:hyperlink r:id="rId26" w:anchor="/document/12/325442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 учесть права пользования, по которым на счете 401.50 нет остатка на 1 января 2021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Не учтенные ранее права</w:t>
      </w:r>
      <w:r w:rsidRPr="00C07BC7">
        <w:rPr>
          <w:rFonts w:ascii="Times New Roman" w:hAnsi="Times New Roman" w:cs="Times New Roman"/>
          <w:lang w:eastAsia="ru-RU"/>
        </w:rPr>
        <w:t>. Неисключительные права, которые выявили во время инвентаризации и планируете использовать более 12 месяцев, учтите на счете 111.60. На баланс их поставьте по справедливой стоимости, определите ее </w:t>
      </w:r>
      <w:hyperlink r:id="rId27" w:anchor="/document/86/177864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методом рыночных цен</w:t>
        </w:r>
      </w:hyperlink>
      <w:r w:rsidRPr="00C07BC7">
        <w:rPr>
          <w:rFonts w:ascii="Times New Roman" w:hAnsi="Times New Roman" w:cs="Times New Roman"/>
          <w:lang w:eastAsia="ru-RU"/>
        </w:rPr>
        <w:t xml:space="preserve">. Если установить ее невозможно, учет ведите по стоимости фактических вложений по данным госконтрактов. А при отсутствии и таких данных – в условной оценке – один объект, один рубль. Проводку сделайте в </w:t>
      </w:r>
      <w:proofErr w:type="spellStart"/>
      <w:r w:rsidRPr="00C07BC7">
        <w:rPr>
          <w:rFonts w:ascii="Times New Roman" w:hAnsi="Times New Roman" w:cs="Times New Roman"/>
          <w:lang w:eastAsia="ru-RU"/>
        </w:rPr>
        <w:t>межотчетный</w:t>
      </w:r>
      <w:proofErr w:type="spellEnd"/>
      <w:r w:rsidRPr="00C07BC7">
        <w:rPr>
          <w:rFonts w:ascii="Times New Roman" w:hAnsi="Times New Roman" w:cs="Times New Roman"/>
          <w:lang w:eastAsia="ru-RU"/>
        </w:rPr>
        <w:t xml:space="preserve"> период в корреспонденции со счетом 401.30.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Все операции оформляйте Бухгалтерской справкой (</w:t>
      </w:r>
      <w:hyperlink r:id="rId28" w:anchor="/document/140/41229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ф. 0504833</w:t>
        </w:r>
      </w:hyperlink>
      <w:r w:rsidRPr="00C07BC7">
        <w:rPr>
          <w:rFonts w:ascii="Times New Roman" w:hAnsi="Times New Roman" w:cs="Times New Roman"/>
          <w:lang w:eastAsia="ru-RU"/>
        </w:rPr>
        <w:t>). Такой порядок Минфин довел в </w:t>
      </w:r>
      <w:hyperlink r:id="rId29" w:anchor="/document/99/573067295/ZAP2H403K9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Методичке от 30.11.2020 № 02-07-07/104384</w:t>
        </w:r>
      </w:hyperlink>
      <w:r w:rsidRPr="00C07BC7">
        <w:rPr>
          <w:rFonts w:ascii="Times New Roman" w:hAnsi="Times New Roman" w:cs="Times New Roman"/>
          <w:lang w:eastAsia="ru-RU"/>
        </w:rPr>
        <w:t> и в </w:t>
      </w:r>
      <w:hyperlink r:id="rId30" w:anchor="/document/99/603204341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дополнении к Методичке от 02.04.2021 № 02-07-07/25218</w:t>
        </w:r>
      </w:hyperlink>
      <w:r w:rsidRPr="00C07BC7">
        <w:rPr>
          <w:rFonts w:ascii="Times New Roman" w:hAnsi="Times New Roman" w:cs="Times New Roman"/>
          <w:lang w:eastAsia="ru-RU"/>
        </w:rPr>
        <w:t>. Мероприятия по переходу на СГС «Нематериальные активы» нужно завершить до конца 2021 года (</w:t>
      </w:r>
      <w:hyperlink r:id="rId31" w:anchor="/document/99/603544964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письмо Федерального Казначейства от 29.04.2021 № 07-04-05/08-10062</w:t>
        </w:r>
      </w:hyperlink>
      <w:r w:rsidRPr="00C07BC7">
        <w:rPr>
          <w:rFonts w:ascii="Times New Roman" w:hAnsi="Times New Roman" w:cs="Times New Roman"/>
          <w:lang w:eastAsia="ru-RU"/>
        </w:rPr>
        <w:t>).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Что относить к правам пользования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lastRenderedPageBreak/>
        <w:t>К правам пользования на НМА, которые учитывают на </w:t>
      </w:r>
      <w:hyperlink r:id="rId32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111.60</w:t>
        </w:r>
      </w:hyperlink>
      <w:r w:rsidRPr="00C07BC7">
        <w:rPr>
          <w:rFonts w:ascii="Times New Roman" w:hAnsi="Times New Roman" w:cs="Times New Roman"/>
          <w:lang w:eastAsia="ru-RU"/>
        </w:rPr>
        <w:t> «Права пользования нематериальными активами», относите актив, если одновременно выполнены четыре условия: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учреждение неоднократно или постоянно будет использовать актив в деятельности свыше 12 месяцев;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у объекта нет материально-вещественной формы;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объект можно идентифицировать, выделить, отделить от другого имущества;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права получили по простой (неисключительной) лицензии или есть другие документы, которые подтверждают право на актив.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Такие условия – в </w:t>
      </w:r>
      <w:hyperlink r:id="rId33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пункте 151.2</w:t>
        </w:r>
      </w:hyperlink>
      <w:r w:rsidRPr="00C07BC7">
        <w:rPr>
          <w:rFonts w:ascii="Times New Roman" w:hAnsi="Times New Roman" w:cs="Times New Roman"/>
          <w:lang w:eastAsia="ru-RU"/>
        </w:rPr>
        <w:t> Инструкции № 157н,</w:t>
      </w:r>
      <w:hyperlink r:id="rId34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 пункте 6</w:t>
        </w:r>
      </w:hyperlink>
      <w:r w:rsidRPr="00C07BC7">
        <w:rPr>
          <w:rFonts w:ascii="Times New Roman" w:hAnsi="Times New Roman" w:cs="Times New Roman"/>
          <w:lang w:eastAsia="ru-RU"/>
        </w:rPr>
        <w:t> СГС «Нематериальные активы».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Виды интеллектуальной собственности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7605"/>
      </w:tblGrid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Виды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Что включают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Объекты авторских прав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Произведения науки, литературы и искусства, программы для компьютеров и базы данных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Объекты смежных прав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Исполнения, фонограммы, базы данных, передачи кабельного и спутникового вещания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Объекты патентных прав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Изобретения, полезные модели, промышленные образцы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Средства индивидуализации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Фирменные наименования, товарные знаки и знаки обслуживания, коммерческие обозначения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Другие объекты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Селекционные достижения, секреты производства (ноу-хау), топологии интегральных микросхем</w:t>
            </w:r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Такие правила и объекты – в статьях </w:t>
      </w:r>
      <w:hyperlink r:id="rId35" w:anchor="/document/99/902019731/XA00LUO2M6/" w:tooltip="Статья 1225. Охраняемые результаты интеллектуальной деятельности и средства индивидуализаци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1225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36" w:anchor="/document/99/902019731/ZA023R23EF/" w:tooltip="Статья 1236. Виды лицензионных договоро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1236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37" w:anchor="/document/99/902019731/ZAP27B63DN/" w:tooltip="Статья 1255. Авторские прав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1255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38" w:anchor="/document/99/902019731/XA00MCC2NQ/" w:tooltip="Статья 1261. Программы для ЭВМ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1261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39" w:anchor="/document/99/902019731/ZA0225Q3CE/" w:tooltip="Статья 1304. Объекты смежных пра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1304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40" w:anchor="/document/99/902019731/ZAP28VG3EA/" w:tooltip="Статья 1349. Объекты патентных пра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1349</w:t>
        </w:r>
      </w:hyperlink>
      <w:r w:rsidRPr="00C07BC7">
        <w:rPr>
          <w:rFonts w:ascii="Times New Roman" w:hAnsi="Times New Roman" w:cs="Times New Roman"/>
          <w:lang w:eastAsia="ru-RU"/>
        </w:rPr>
        <w:t> ГК.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Какие документы оформить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Неисключительные права на НМА принимайте к учету на основании первичного документа. Унифицированного бланка для такой операции нет, поэтому форма может быть закреплена в договоре на передачу прав. Если нет – составьте ее сами. Главное, чтобы бланк содержал </w:t>
      </w:r>
      <w:hyperlink r:id="rId41" w:anchor="/document/86/268814/dfashgl75i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все обязательные реквизиты</w:t>
        </w:r>
      </w:hyperlink>
      <w:r w:rsidRPr="00C07BC7">
        <w:rPr>
          <w:rFonts w:ascii="Times New Roman" w:hAnsi="Times New Roman" w:cs="Times New Roman"/>
          <w:lang w:eastAsia="ru-RU"/>
        </w:rPr>
        <w:t>. Например, акт приема-передачи права на интеллектуальную собственность.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определить срок использования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Срок полезного использования неисключительных прав определяет </w:t>
      </w:r>
      <w:hyperlink r:id="rId42" w:anchor="/document/86/330118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комиссия по поступлению и выбытию активов</w:t>
        </w:r>
      </w:hyperlink>
      <w:r w:rsidRPr="00C07BC7">
        <w:rPr>
          <w:rFonts w:ascii="Times New Roman" w:hAnsi="Times New Roman" w:cs="Times New Roman"/>
          <w:lang w:eastAsia="ru-RU"/>
        </w:rPr>
        <w:t>. Делают это исходя из: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срока действия прав на результат интеллектуальной деятельности или средство индивидуализации и периода контроля над объектом;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срока действия патента, свидетельства, других ограничений сроков по законодательству;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ожидаемого срока использования актива, в течение которого планируете использовать его в деятельности или получать экономические выгоды;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типичного жизненного цикла для актива и публичной информации о сроках службы аналогичных объектов;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технологических, технических и других типов устаревания.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Если анализ всех факторов не позволил установить точный период, когда объект будет приносить экономические выгоды и полезный потенциал, срок признайте неопределенным. Далее каждый год во время инвентаризации комиссия проверяет факторы, по которым определяли срок использования. Если обстоятельства и условия изменились, уточните срок службы. Такой порядок – в </w:t>
      </w:r>
      <w:hyperlink r:id="rId43" w:anchor="/document/99/573067295/ZAP2I2A3NA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Методичке</w:t>
        </w:r>
      </w:hyperlink>
      <w:r w:rsidRPr="00C07BC7">
        <w:rPr>
          <w:rFonts w:ascii="Times New Roman" w:hAnsi="Times New Roman" w:cs="Times New Roman"/>
          <w:lang w:eastAsia="ru-RU"/>
        </w:rPr>
        <w:t> по применению СГС «Нематериальные активы», довели </w:t>
      </w:r>
      <w:hyperlink r:id="rId44" w:anchor="/document/99/573067295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письмом Минфина от 30.11.2020 № 02-07-07/104384</w:t>
        </w:r>
      </w:hyperlink>
      <w:r w:rsidRPr="00C07BC7">
        <w:rPr>
          <w:rFonts w:ascii="Times New Roman" w:hAnsi="Times New Roman" w:cs="Times New Roman"/>
          <w:lang w:eastAsia="ru-RU"/>
        </w:rPr>
        <w:t>. Читайте – </w:t>
      </w:r>
      <w:hyperlink r:id="rId45" w:anchor="/document/16/74154/dfasvzm88l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 xml:space="preserve">Как </w:t>
        </w:r>
        <w:proofErr w:type="spellStart"/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реклассифицировать</w:t>
        </w:r>
        <w:proofErr w:type="spellEnd"/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 xml:space="preserve"> неисключительные права на НМА с неопределенным сроком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КВР и КОСГУ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Какие КВР и КОСГУ использовать для оплаты и учета неисключительных прав на нематериальные активы смотрите в таблицах.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КВР и КОСГУ для оплаты прав на НМА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4526"/>
        <w:gridCol w:w="2509"/>
      </w:tblGrid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На какой объект покупаете неисключительные права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Код КОСГУ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lastRenderedPageBreak/>
              <w:t>Научные исследования, научно-исследовательские разработки</w:t>
            </w:r>
          </w:p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Опытно-конструкторские и технологические разработки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6" w:anchor="/document/99/560411832/XA00M982N5/" w:tooltip="241 Научно-исследовательские, опытно-конструкторские и технологические работы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241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7" w:anchor="/document/99/555944502/XA00M7K2MG/" w:tooltip="226 Прочие работы, услуги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226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Программное обеспечение, базы данных: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бюджетные и автономные учреждения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8" w:anchor="/document/99/560411832/XA00MAU2NE/" w:tooltip="244 Прочая закупка товаров, работ и услуг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244</w:t>
              </w:r>
            </w:hyperlink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49" w:anchor="/document/99/555944502/XA00M7K2MG/" w:tooltip="226 Прочие работы, услуги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226</w:t>
              </w:r>
            </w:hyperlink>
            <w:r w:rsidR="00C07BC7" w:rsidRPr="00C07BC7">
              <w:rPr>
                <w:rFonts w:ascii="Times New Roman" w:hAnsi="Times New Roman" w:cs="Times New Roman"/>
                <w:lang w:eastAsia="ru-RU"/>
              </w:rPr>
              <w:t> – </w:t>
            </w:r>
            <w:hyperlink r:id="rId50" w:anchor="/document/16/72391/dfasa9dysi/" w:tooltip="Учет ПО отдельно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ПО не формирует стоимость компьютера</w:t>
              </w:r>
            </w:hyperlink>
          </w:p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1" w:anchor="/document/99/555944502/XA00MAG2MT/" w:tooltip="28 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228</w:t>
              </w:r>
            </w:hyperlink>
            <w:r w:rsidR="00C07BC7" w:rsidRPr="00C07BC7">
              <w:rPr>
                <w:rFonts w:ascii="Times New Roman" w:hAnsi="Times New Roman" w:cs="Times New Roman"/>
                <w:lang w:eastAsia="ru-RU"/>
              </w:rPr>
              <w:t> – </w:t>
            </w:r>
            <w:hyperlink r:id="rId52" w:anchor="/document/16/72391/dfaszm9hpx/" w:tooltip="ПО формирует первоначальную стоимость компьютера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ПО формирует стоимость компьютера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госорганы и казенные учреждения на федеральном уровне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3" w:anchor="/document/99/560411832/XA00M9Q2N8/" w:tooltip="242 Закупка товаров, работ, услуг в сфере информационно-коммуникационных технологий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242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госорганы и казенные учреждения на региональном или муниципальном уровне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4" w:anchor="/document/99/560411832/XA00M9Q2N8/" w:tooltip="242 Закупка товаров, работ, услуг в сфере информационно-коммуникационных технологий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242</w:t>
              </w:r>
            </w:hyperlink>
            <w:r w:rsidR="00C07BC7" w:rsidRPr="00C07BC7">
              <w:rPr>
                <w:rFonts w:ascii="Times New Roman" w:hAnsi="Times New Roman" w:cs="Times New Roman"/>
                <w:lang w:eastAsia="ru-RU"/>
              </w:rPr>
              <w:t xml:space="preserve"> – если такое решение принято </w:t>
            </w:r>
            <w:proofErr w:type="spellStart"/>
            <w:r w:rsidR="00C07BC7" w:rsidRPr="00C07BC7">
              <w:rPr>
                <w:rFonts w:ascii="Times New Roman" w:hAnsi="Times New Roman" w:cs="Times New Roman"/>
                <w:lang w:eastAsia="ru-RU"/>
              </w:rPr>
              <w:t>финорганом</w:t>
            </w:r>
            <w:proofErr w:type="spellEnd"/>
            <w:r w:rsidR="00C07BC7" w:rsidRPr="00C07BC7">
              <w:rPr>
                <w:rFonts w:ascii="Times New Roman" w:hAnsi="Times New Roman" w:cs="Times New Roman"/>
                <w:lang w:eastAsia="ru-RU"/>
              </w:rPr>
              <w:t xml:space="preserve"> субъекта РФ, муниципального образования. Если такого решения нет, то расходы учитывайте по </w:t>
            </w:r>
            <w:hyperlink r:id="rId55" w:anchor="/document/99/560411832/XA00MAU2NE/" w:tooltip="244 Прочая закупка товаров, работ и услуг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КВР 244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Другие объекты интеллектуальной собственности, например товарные знаки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6" w:anchor="/document/99/560411832/XA00MAU2NE/" w:tooltip="244 Прочая закупка товаров, работ и услуг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244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7" w:anchor="/document/99/555944502/XA00M7K2MG/" w:tooltip="226 Прочие работы, услуги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226</w:t>
              </w:r>
            </w:hyperlink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КОСГУ для учета прав на НМА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3851"/>
        <w:gridCol w:w="3252"/>
      </w:tblGrid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Срок использования прав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Счет учета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КОСГУ в 24-26 разряде номера счета</w:t>
            </w:r>
          </w:p>
        </w:tc>
      </w:tr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Срок использования прав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Счет учета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КОСГУ в 24-26 разряде номера счета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Поступление и выбытие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определенным сроком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увеличение по </w:t>
            </w:r>
            <w:hyperlink r:id="rId58" w:anchor="/document/99/902249301/ZAP1M663A3/" w:tooltip="111 60 Права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111.60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59" w:anchor="/document/99/555944502/XA00MFA2O5/" w:tooltip="352 Увеличение стоимости неисключительных прав на результаты интеллектуальной деятельности с не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352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уменьшение по </w:t>
            </w:r>
            <w:hyperlink r:id="rId60" w:anchor="/document/99/902249301/ZAP1M663A3/" w:tooltip="111 60 Права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111.60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1" w:anchor="/document/99/555944502/XA00MC22NC/" w:tooltip="452 Уменьшение стоимости неисключительных прав на результаты интеллектуальной деятельности с 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452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неопределенным сроком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увеличение по </w:t>
            </w:r>
            <w:hyperlink r:id="rId62" w:anchor="/document/99/902249301/ZAP1M663A3/" w:tooltip="111 60 Права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111.60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3" w:anchor="/document/99/555944502/XA00MGC2OA/" w:tooltip="353 Увеличение стоимости неисключительных прав на результаты интеллектуальной деятельности с 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353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уменьшение по </w:t>
            </w:r>
            <w:hyperlink r:id="rId64" w:anchor="/document/99/902249301/ZAP1M663A3/" w:tooltip="111 60 Права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111.60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5" w:anchor="/document/99/555944502/XA00MBG2NJ/" w:tooltip="453 Уменьшение стоимости неисключительных прав на результаты интеллектуальной деятельности с не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453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Амортизация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определенным сроком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увеличение и уменьшение по </w:t>
            </w:r>
            <w:hyperlink r:id="rId66" w:anchor="/document/99/902249301/ZAP1MT23DQ/" w:tooltip="104 60 Амортизация прав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104.60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7" w:anchor="/document/99/555944502/XA00MC22NC/" w:tooltip="452 Уменьшение стоимости неисключительных прав на результаты интеллектуальной деятельности с 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452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неопределенным сроком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амортизацию не начисляют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Обесценение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определенным сроком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увеличение и уменьшение по </w:t>
            </w:r>
            <w:hyperlink r:id="rId68" w:anchor="/document/99/902249301/ZAP1Q2I3F6/" w:tooltip="114 60 Обесценение прав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114.60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69" w:anchor="/document/99/555944502/XA00MC22NC/" w:tooltip="452 Уменьшение стоимости неисключительных прав на результаты интеллектуальной деятельности с 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452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Права с неопределенным сроком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увеличение и уменьшение по </w:t>
            </w:r>
            <w:hyperlink r:id="rId70" w:anchor="/document/99/902249301/ZAP1Q2I3F6/" w:tooltip="114 60 Обесценение прав пользования нематериальными активами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счету 114.60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71" w:anchor="/document/99/555944502/XA00MBG2NJ/" w:tooltip="453 Уменьшение стоимости неисключительных прав на результаты интеллектуальной деятельности с неопределенным сроком полезного использования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453</w:t>
              </w:r>
            </w:hyperlink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Такой порядок следует из пунктов </w:t>
      </w:r>
      <w:hyperlink r:id="rId72" w:anchor="/document/99/560411832/XA00M982N5/" w:tooltip="48.2.4.1. По элементу вида расходов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48.2.4.1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73" w:anchor="/document/99/560411832/XA00M9Q2N8/" w:tooltip="48.2.4.2. По элементу вида расходов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48.2.4.2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74" w:anchor="/document/99/560411832/XA00MAU2NE/" w:tooltip="48.2.4.4. По элементу вида расходов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48.2.4.4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75" w:anchor="/document/99/555944502/XA00MFA2O5/" w:tooltip="11.5.2. На подстатью 352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11.5.2-11.5.3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76" w:anchor="/document/99/555944502/XA00MC22NC/" w:tooltip="12.5.2. На подстатью 452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12.5.2-12.5.3</w:t>
        </w:r>
      </w:hyperlink>
      <w:r w:rsidRPr="00C07BC7">
        <w:rPr>
          <w:rFonts w:ascii="Times New Roman" w:hAnsi="Times New Roman" w:cs="Times New Roman"/>
          <w:lang w:eastAsia="ru-RU"/>
        </w:rPr>
        <w:t> Порядка применения КБК 85н, пунктов </w:t>
      </w:r>
      <w:hyperlink r:id="rId77" w:anchor="/document/99/555944502/XA00M7K2MG/" w:tooltip="10.2.6. На подстатью 226 Прочие работы, услуги КОСГУ относятся расходы на выполнение работ, оказание услуг, не отнесенных на подстатьи 221-225, 227-229 КОСГУ, в том числе: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10.2.6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78" w:anchor="/document/99/555944502/XA00MAG2MT/" w:tooltip="10.2.8. На подстатью 228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10.2.8</w:t>
        </w:r>
      </w:hyperlink>
      <w:r w:rsidRPr="00C07BC7">
        <w:rPr>
          <w:rFonts w:ascii="Times New Roman" w:hAnsi="Times New Roman" w:cs="Times New Roman"/>
          <w:lang w:eastAsia="ru-RU"/>
        </w:rPr>
        <w:t> Порядка применения КОСГУ 209н.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учесть права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lastRenderedPageBreak/>
        <w:t>Правила учета неисключительных прав на НМА зависят от срока их полезного использования: более или менее 12 месяцев.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Права со сроком </w:t>
      </w:r>
      <w:r w:rsidRPr="00C07BC7">
        <w:rPr>
          <w:rFonts w:ascii="Times New Roman" w:hAnsi="Times New Roman" w:cs="Times New Roman"/>
          <w:b/>
          <w:bCs/>
          <w:lang w:eastAsia="ru-RU"/>
        </w:rPr>
        <w:t>более 12 месяцев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Неисключительные права пользования НМА со сроком службы свыше 12 месяцев учитывайте на </w:t>
      </w:r>
      <w:hyperlink r:id="rId79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111.60</w:t>
        </w:r>
      </w:hyperlink>
      <w:r w:rsidRPr="00C07BC7">
        <w:rPr>
          <w:rFonts w:ascii="Times New Roman" w:hAnsi="Times New Roman" w:cs="Times New Roman"/>
          <w:lang w:eastAsia="ru-RU"/>
        </w:rPr>
        <w:t> «Права пользования нематериальными активами». Причем срок «свыше 12 месяцев» означает – 12 месяцев плюс один день и выше.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В зависимости от вида НМА используйте аналитические счета: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80" w:anchor="/document/99/902249301/ZAP1M3G3BN/" w:tooltip="Права пользования научными исследованиями (научно- исследовательскими разработками)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111.6N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научные исследования (научно-исследовательские разработки);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81" w:anchor="/document/99/902249301/ZAP1HI234Q/" w:tooltip="Права пользования опытно-конструкторскими и технологическими разработками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111.6R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опытно-конструкторские и технологические разработки;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82" w:anchor="/document/99/902249301/ZAP1HEI34B/" w:tooltip="Права пользования программным обеспечением и базами данных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111.6I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программное обеспечение и базы данных;</w:t>
      </w:r>
    </w:p>
    <w:p w:rsidR="00C07BC7" w:rsidRPr="00C07BC7" w:rsidRDefault="00721785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hyperlink r:id="rId83" w:anchor="/document/99/902249301/ZAP1KPM3CG/" w:tooltip="Права пользования иными объектами интеллектуальной собственности" w:history="1">
        <w:r w:rsidR="00C07BC7"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111.6D</w:t>
        </w:r>
      </w:hyperlink>
      <w:r w:rsidR="00C07BC7" w:rsidRPr="00C07BC7">
        <w:rPr>
          <w:rFonts w:ascii="Times New Roman" w:hAnsi="Times New Roman" w:cs="Times New Roman"/>
          <w:lang w:eastAsia="ru-RU"/>
        </w:rPr>
        <w:t> – иные объекты интеллектуальной собственности.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Когда принимаете права к учету, в 24–26-х разрядах счета указывайте коды КОСГУ: </w:t>
      </w:r>
      <w:hyperlink r:id="rId84" w:anchor="/document/99/555944502/XA00MFA2O5/" w:tooltip="352 Увеличение стоимости неисключительных прав на результаты интеллектуальной деятельности с 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352</w:t>
        </w:r>
      </w:hyperlink>
      <w:r w:rsidRPr="00C07BC7">
        <w:rPr>
          <w:rFonts w:ascii="Times New Roman" w:hAnsi="Times New Roman" w:cs="Times New Roman"/>
          <w:lang w:eastAsia="ru-RU"/>
        </w:rPr>
        <w:t> – для прав с определенным сроком полезного использования и </w:t>
      </w:r>
      <w:hyperlink r:id="rId85" w:anchor="/document/99/555944502/XA00MGC2OA/" w:tooltip="353 Увеличение стоимости неисключительных прав на результаты интеллектуальной деятельности с неопределенным сроком полезного использова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353</w:t>
        </w:r>
      </w:hyperlink>
      <w:r w:rsidRPr="00C07BC7">
        <w:rPr>
          <w:rFonts w:ascii="Times New Roman" w:hAnsi="Times New Roman" w:cs="Times New Roman"/>
          <w:lang w:eastAsia="ru-RU"/>
        </w:rPr>
        <w:t> – с неопределенным сроком.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Неисключительные права пользования НМА учитывайте по стоимости, которая указана в лицензионном или другом договоре. Не включайте в стоимость платежи по обновлению программного обеспечения, информационных систем, баз данных по отдельным договорам. Такие расходы списывайте на финансовый результат. Вывод следует из </w:t>
      </w:r>
      <w:hyperlink r:id="rId86" w:anchor="/document/99/573067295/ZAP2H7K3IS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примера</w:t>
        </w:r>
      </w:hyperlink>
      <w:r w:rsidRPr="00C07BC7">
        <w:rPr>
          <w:rFonts w:ascii="Times New Roman" w:hAnsi="Times New Roman" w:cs="Times New Roman"/>
          <w:lang w:eastAsia="ru-RU"/>
        </w:rPr>
        <w:t>, который Минфин привел в </w:t>
      </w:r>
      <w:hyperlink r:id="rId87" w:anchor="/document/99/573067295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Методичке к СГС «Нематериальные активы»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Ежемесячно на права пользования НМА с определенным сроком использования начисляйте амортизацию на </w:t>
      </w:r>
      <w:hyperlink r:id="rId88" w:anchor="/document/99/902249301/ZAP1MT23DQ/" w:tooltip="104.60 Амортизация прав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104.6Х.452</w:t>
        </w:r>
      </w:hyperlink>
      <w:r w:rsidRPr="00C07BC7">
        <w:rPr>
          <w:rFonts w:ascii="Times New Roman" w:hAnsi="Times New Roman" w:cs="Times New Roman"/>
          <w:lang w:eastAsia="ru-RU"/>
        </w:rPr>
        <w:t>. Специальных правил, как амортизировать неисключительные права, нет, поэтому закрепите их в учетной политике. За основу возьмите правила для нематериальных активов.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Начисляйте амортизацию с 1-го числа месяца, следующего за тем, когда права были приняты к учету. Далее делайте это ежемесячно. Прекратите начислять амортизации с 1-го числа месяца, следующего за тем, когда объект списали или его остаточная стоимость стала равна нулю. 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В зависимости от стоимости неисключительных прав амортизацию начисляйте с учетом особенностей, которые даны в таблице.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Как начислять амортизацию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6875"/>
      </w:tblGrid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Стоимость неисключительных прав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Правила для начисления</w:t>
            </w:r>
          </w:p>
        </w:tc>
      </w:tr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Стоимость неисключительных прав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Правила для начисления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До 100 000 руб. включительно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Единовременно в размере 100 процентов при принятии объекта на учет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Свыше 100 000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Ежемесячно по установленным нормам</w:t>
            </w:r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Начислять амортизацию можно одним из трех методов: линейный, уменьшаемого остатка или пропорционально объему продукции. Читайте </w:t>
      </w:r>
      <w:hyperlink r:id="rId89" w:anchor="/document/16/72118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подробнее обо всех методах</w:t>
        </w:r>
      </w:hyperlink>
      <w:r w:rsidRPr="00C07BC7">
        <w:rPr>
          <w:rFonts w:ascii="Times New Roman" w:hAnsi="Times New Roman" w:cs="Times New Roman"/>
          <w:lang w:eastAsia="ru-RU"/>
        </w:rPr>
        <w:t>. Самый простой – линейный метод, именно его Минфин использует в </w:t>
      </w:r>
      <w:hyperlink r:id="rId90" w:anchor="/document/99/573067295/ZAP2H7K3IS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примере</w:t>
        </w:r>
      </w:hyperlink>
      <w:r w:rsidRPr="00C07BC7">
        <w:rPr>
          <w:rFonts w:ascii="Times New Roman" w:hAnsi="Times New Roman" w:cs="Times New Roman"/>
          <w:lang w:eastAsia="ru-RU"/>
        </w:rPr>
        <w:t> из Методички к СГС «Нематериальные активы».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 xml:space="preserve">На права с неопределенным сроком использования амортизацию не начисляйте. Ограничение действует до тех пор, пока не установите такой срок. Чтобы начать начислять амортизацию, проведите </w:t>
      </w:r>
      <w:proofErr w:type="spellStart"/>
      <w:r w:rsidRPr="00C07BC7">
        <w:rPr>
          <w:rFonts w:ascii="Times New Roman" w:hAnsi="Times New Roman" w:cs="Times New Roman"/>
          <w:lang w:eastAsia="ru-RU"/>
        </w:rPr>
        <w:t>реклассификацию</w:t>
      </w:r>
      <w:proofErr w:type="spellEnd"/>
      <w:r w:rsidRPr="00C07BC7">
        <w:rPr>
          <w:rFonts w:ascii="Times New Roman" w:hAnsi="Times New Roman" w:cs="Times New Roman"/>
          <w:lang w:eastAsia="ru-RU"/>
        </w:rPr>
        <w:t xml:space="preserve"> – переведите права в состав прав с определенным сроком использования. Как это сделать, читайте в </w:t>
      </w:r>
      <w:hyperlink r:id="rId91" w:anchor="/document/16/74154/dfasvzm88l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рекомендации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Права со сроком 12 месяцев и менее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Расходы по краткосрочному договору учитывайте в составе расходов будущих периодов или в текущих расходов, в зависимости от условий договора. Подробнее – в таблице.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Учет расходов на покупку неисключительных прав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437"/>
      </w:tblGrid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Как учитывать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Условия договора</w:t>
            </w:r>
          </w:p>
        </w:tc>
      </w:tr>
      <w:tr w:rsidR="00C07BC7" w:rsidRPr="00C07BC7" w:rsidTr="00C07BC7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Как учитывать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Условия договора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В расходах будущих периодов – на </w:t>
            </w:r>
            <w:hyperlink r:id="rId92" w:anchor="/document/99/902249301/ZAP1MNI3CH/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счете 401.50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По договору срок полезного использования выходит за пределы года, в котором купили объект, и установлен разовый фиксированный платеж (паушальный взнос). Например, срок полезного использования с 1 ноября 2021 года по 31 октября 2022 года</w:t>
            </w:r>
          </w:p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lastRenderedPageBreak/>
              <w:t>В текущих расходах – на счетах </w:t>
            </w:r>
            <w:hyperlink r:id="rId93" w:anchor="/document/99/902249301/ZAP1IB63AE/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401.20</w:t>
              </w:r>
            </w:hyperlink>
            <w:r w:rsidRPr="00C07BC7">
              <w:rPr>
                <w:rFonts w:ascii="Times New Roman" w:hAnsi="Times New Roman" w:cs="Times New Roman"/>
                <w:lang w:eastAsia="ru-RU"/>
              </w:rPr>
              <w:t>, </w:t>
            </w:r>
            <w:hyperlink r:id="rId94" w:anchor="/document/99/902249301/ZAP1L783B0/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109.ХХ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По договору срок полезного использования – в пределах одного финансового года. Например, с 1 февраля по 31 декабря 2021 года.</w:t>
            </w:r>
          </w:p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По договору с переходящим сроком ежемесячно перечисляете периодические платежи (роялти)</w:t>
            </w:r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Такой порядок следует из </w:t>
      </w:r>
      <w:hyperlink r:id="rId95" w:anchor="/document/99/902249301/XA00M7O2MK/" w:tooltip="302. Счет предназначен для учета сумм расходов, начисленных учреждением в отчетном периоде, но относящихся к будущим отчетным периодам.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пункта 302</w:t>
        </w:r>
      </w:hyperlink>
      <w:r w:rsidRPr="00C07BC7">
        <w:rPr>
          <w:rFonts w:ascii="Times New Roman" w:hAnsi="Times New Roman" w:cs="Times New Roman"/>
          <w:lang w:eastAsia="ru-RU"/>
        </w:rPr>
        <w:t> Инструкции № 157н и разъяснен в </w:t>
      </w:r>
      <w:hyperlink r:id="rId96" w:anchor="/document/99/603204341/ZAP2KV43K6/" w:tooltip="3. В части особенностей отражения прав на результаты интеллектуальной деятельности как исключительных, так и неисключительных, срок полезного использования которых составляет не более 12 месяцев, но переходит за пределы года возникновения таких прав (распростр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пункте 3</w:t>
        </w:r>
      </w:hyperlink>
      <w:r w:rsidRPr="00C07BC7">
        <w:rPr>
          <w:rFonts w:ascii="Times New Roman" w:hAnsi="Times New Roman" w:cs="Times New Roman"/>
          <w:lang w:eastAsia="ru-RU"/>
        </w:rPr>
        <w:t> дополнения к Методичке по СГС «Нематериальные активы» (</w:t>
      </w:r>
      <w:hyperlink r:id="rId97" w:anchor="/document/99/603204341/ZAP2QR23R6/" w:tooltip="2. В части признания неисключительных прав пользования нематериальными активами с неопределенным сроком, приобретенных (созданных) до 01.01.2021 и отраженных в отчетности за 2020 год на 01.01.2021 на забалансовом счете 01 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письмо Минфина от 02.04.2021 № 02-07-07/25218</w:t>
        </w:r>
      </w:hyperlink>
      <w:r w:rsidRPr="00C07BC7">
        <w:rPr>
          <w:rFonts w:ascii="Times New Roman" w:hAnsi="Times New Roman" w:cs="Times New Roman"/>
          <w:lang w:eastAsia="ru-RU"/>
        </w:rPr>
        <w:t>). Проводки зависят от типа учреждения.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учесть безвозмездно полученные права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учесть права пользования НМА, которые получили безвозмездно, зависит от срока, на который предоставлены активы: больше или меньше 12 месяцев.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Права на срок более 12 месяцев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В бухучете неисключительные права на НМА, которые получили безвозмездно на срок более 12 месяцев, учтите на </w:t>
      </w:r>
      <w:hyperlink r:id="rId98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111.60</w:t>
        </w:r>
      </w:hyperlink>
      <w:r w:rsidRPr="00C07BC7">
        <w:rPr>
          <w:rFonts w:ascii="Times New Roman" w:hAnsi="Times New Roman" w:cs="Times New Roman"/>
          <w:lang w:eastAsia="ru-RU"/>
        </w:rPr>
        <w:t> «Права пользования нематериальными активами». Делайте проводки через </w:t>
      </w:r>
      <w:hyperlink r:id="rId99" w:anchor="/document/99/902249301/XA00M802N9/" w:tooltip="Счет 40110 Доходы текущего финансового год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 401.10</w:t>
        </w:r>
      </w:hyperlink>
      <w:r w:rsidRPr="00C07BC7">
        <w:rPr>
          <w:rFonts w:ascii="Times New Roman" w:hAnsi="Times New Roman" w:cs="Times New Roman"/>
          <w:lang w:eastAsia="ru-RU"/>
        </w:rPr>
        <w:t> «Доходы текущего финансового года». В 24–26-х разрядах </w:t>
      </w:r>
      <w:hyperlink r:id="rId100" w:anchor="/document/99/902249301/XA00M802N9/" w:tooltip="Счет 40110 Доходы текущего финансового год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счета 401.10</w:t>
        </w:r>
      </w:hyperlink>
      <w:r w:rsidRPr="00C07BC7">
        <w:rPr>
          <w:rFonts w:ascii="Times New Roman" w:hAnsi="Times New Roman" w:cs="Times New Roman"/>
          <w:lang w:eastAsia="ru-RU"/>
        </w:rPr>
        <w:t> укажите соответствующие подстатьи </w:t>
      </w:r>
      <w:hyperlink r:id="rId101" w:anchor="/document/99/555944502/XA00M662MB/" w:tooltip="Статья 190 Безвозмездные неденежные поступления в сектор государственного управления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статьи КОСГУ 190</w:t>
        </w:r>
      </w:hyperlink>
      <w:r w:rsidRPr="00C07BC7">
        <w:rPr>
          <w:rFonts w:ascii="Times New Roman" w:hAnsi="Times New Roman" w:cs="Times New Roman"/>
          <w:lang w:eastAsia="ru-RU"/>
        </w:rPr>
        <w:t> «Безвозмездные неденежные поступления в сектор государственного управления».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Как определить код КОСГУ для счета 401.10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8865"/>
      </w:tblGrid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Номер счета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b/>
                <w:bCs/>
                <w:lang w:eastAsia="ru-RU"/>
              </w:rPr>
              <w:t>Кто передал неисключительные права на НМА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0.401.10.</w:t>
            </w:r>
            <w:hyperlink r:id="rId102" w:anchor="/document/99/555944502/XA00M782MG/" w:tooltip="191 Безвозмездные неденежные поступления текущего характера от сектора государственного управления и организаций государственного сектора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191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721785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3" w:anchor="/document/99/573198944/ZAP24J43DC/" w:tooltip="Сектор государственного управления (п.2 Порядка):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Сектор госуправления</w:t>
              </w:r>
            </w:hyperlink>
            <w:r w:rsidR="00C07BC7" w:rsidRPr="00C07BC7">
              <w:rPr>
                <w:rFonts w:ascii="Times New Roman" w:hAnsi="Times New Roman" w:cs="Times New Roman"/>
                <w:lang w:eastAsia="ru-RU"/>
              </w:rPr>
              <w:t> или </w:t>
            </w:r>
            <w:hyperlink r:id="rId104" w:anchor="/document/99/573198944/ZAP1S5Q38M/" w:tooltip="Организации государственного сектора (п.7.1 Порядка):" w:history="1">
              <w:r w:rsidR="00C07BC7"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организации госсектора</w:t>
              </w:r>
            </w:hyperlink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0.401.10.</w:t>
            </w:r>
            <w:hyperlink r:id="rId105" w:anchor="/document/99/555944502/XA00MDK2NQ/" w:tooltip="192 Безвозмездные неденежные поступления текущего характера от организаций (за исключением сектора государственного управления и организаций государственного сектора)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192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Другие российские организации: коммерческие и некоммерческие, ИП, физлица – производители товаров, работ и услуг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0.401.10.</w:t>
            </w:r>
            <w:hyperlink r:id="rId106" w:anchor="/document/99/555944502/XA00MEM2NV/" w:tooltip="193 Безвозмездные неденежные поступления текущего характера от физических лиц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193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Граждане, в том числе нерезиденты</w:t>
            </w:r>
          </w:p>
        </w:tc>
      </w:tr>
      <w:tr w:rsidR="00C07BC7" w:rsidRPr="00C07BC7" w:rsidTr="00C07B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0.401.10.</w:t>
            </w:r>
            <w:hyperlink r:id="rId107" w:anchor="/document/99/555944502/XA00MFO2O4/" w:tooltip="194 Безвозмездные неденежные поступления текущего характера от нерезидентов" w:history="1">
              <w:r w:rsidRPr="00C07BC7">
                <w:rPr>
                  <w:rFonts w:ascii="Times New Roman" w:hAnsi="Times New Roman" w:cs="Times New Roman"/>
                  <w:color w:val="0D4E5F"/>
                  <w:u w:val="single"/>
                  <w:lang w:eastAsia="ru-RU"/>
                </w:rPr>
                <w:t>194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BC7" w:rsidRPr="00C07BC7" w:rsidRDefault="00C07BC7" w:rsidP="00C07BC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BC7">
              <w:rPr>
                <w:rFonts w:ascii="Times New Roman" w:hAnsi="Times New Roman" w:cs="Times New Roman"/>
                <w:lang w:eastAsia="ru-RU"/>
              </w:rPr>
              <w:t>Организации-нерезиденты</w:t>
            </w:r>
          </w:p>
        </w:tc>
      </w:tr>
    </w:tbl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Такие коды – в </w:t>
      </w:r>
      <w:hyperlink r:id="rId108" w:anchor="/document/99/555944502/XA00M782MG/" w:tooltip="9.9.1.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...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пунктах 9.9.1–9.9.4</w:t>
        </w:r>
      </w:hyperlink>
      <w:r w:rsidRPr="00C07BC7">
        <w:rPr>
          <w:rFonts w:ascii="Times New Roman" w:hAnsi="Times New Roman" w:cs="Times New Roman"/>
          <w:lang w:eastAsia="ru-RU"/>
        </w:rPr>
        <w:t> Порядка применения КОСГУ № 209н.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Стоимость прав на НМА, который получили от </w:t>
      </w:r>
      <w:hyperlink r:id="rId109" w:anchor="/document/113/8618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организаций бюджетной сферы</w:t>
        </w:r>
      </w:hyperlink>
      <w:r w:rsidRPr="00C07BC7">
        <w:rPr>
          <w:rFonts w:ascii="Times New Roman" w:hAnsi="Times New Roman" w:cs="Times New Roman"/>
          <w:lang w:eastAsia="ru-RU"/>
        </w:rPr>
        <w:t>, определите по передаточным документам. Получили от коммерческих организаций или граждан – стоимость определите одним из двух способов: по передаточным документам или по справедливой стоимости на дату приобретения. Подробнее: </w:t>
      </w:r>
      <w:hyperlink r:id="rId110" w:anchor="/document/16/71603/dfassbr6b3/" w:tooltip="Как определить первоначальную стоимость нематериального актив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Как определить первоначальную стоимость нематериального актива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Ежемесячно на права пользования НМА с определенным сроком использования начисляйте амортизацию на </w:t>
      </w:r>
      <w:hyperlink r:id="rId111" w:anchor="/document/99/902249301/ZAP1MT23DQ/" w:tooltip="104.60 Амортизация прав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104.6Х.452</w:t>
        </w:r>
      </w:hyperlink>
      <w:r w:rsidRPr="00C07BC7">
        <w:rPr>
          <w:rFonts w:ascii="Times New Roman" w:hAnsi="Times New Roman" w:cs="Times New Roman"/>
          <w:lang w:eastAsia="ru-RU"/>
        </w:rPr>
        <w:t>. </w:t>
      </w:r>
      <w:hyperlink r:id="rId112" w:anchor="/document/86/309486/" w:tooltip="Как начислять амортизацию на неисключительные права пользования НМ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Подробнее&gt;&gt;</w:t>
        </w:r>
      </w:hyperlink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Порядок учета безвозмездно полученных неисключительных прав на НМА зависит от типа учреждения.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Права на срок 12 месяцев и меньше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Права пользования НМА, которые получили безвозмездно на срок 12 месяцев и меньше, на балансовых счетах отражать не нужно. Учитывать такие права на </w:t>
      </w:r>
      <w:hyperlink r:id="rId113" w:anchor="/document/99/902249301/ZAP1M663A3/" w:tooltip="111 60 Права пользования нематериальными активами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111.60</w:t>
        </w:r>
      </w:hyperlink>
      <w:r w:rsidRPr="00C07BC7">
        <w:rPr>
          <w:rFonts w:ascii="Times New Roman" w:hAnsi="Times New Roman" w:cs="Times New Roman"/>
          <w:lang w:eastAsia="ru-RU"/>
        </w:rPr>
        <w:t> нельзя – на нем учитывают только права со сроком свыше 12 месяцев (</w:t>
      </w:r>
      <w:hyperlink r:id="rId114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п. 151.2 Инструкции к Единому плану счетов № 157н</w:t>
        </w:r>
      </w:hyperlink>
      <w:r w:rsidRPr="00C07BC7">
        <w:rPr>
          <w:rFonts w:ascii="Times New Roman" w:hAnsi="Times New Roman" w:cs="Times New Roman"/>
          <w:lang w:eastAsia="ru-RU"/>
        </w:rPr>
        <w:t>, </w:t>
      </w:r>
      <w:hyperlink r:id="rId115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п. 6 СГС «Нематериальные активы»</w:t>
        </w:r>
      </w:hyperlink>
      <w:r w:rsidRPr="00C07BC7">
        <w:rPr>
          <w:rFonts w:ascii="Times New Roman" w:hAnsi="Times New Roman" w:cs="Times New Roman"/>
          <w:lang w:eastAsia="ru-RU"/>
        </w:rPr>
        <w:t>).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Учет прав пользования НМА на срок 12 месяцев и меньше вы можете организовать на дополнительном забалансовом учете. Как это сделать, читайте в </w:t>
      </w:r>
      <w:hyperlink r:id="rId116" w:anchor="/document/16/74154/dfasmmp7ii/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рекомендации</w:t>
        </w:r>
      </w:hyperlink>
      <w:r w:rsidRPr="00C07BC7">
        <w:rPr>
          <w:rFonts w:ascii="Times New Roman" w:hAnsi="Times New Roman" w:cs="Times New Roman"/>
          <w:lang w:eastAsia="ru-RU"/>
        </w:rPr>
        <w:t>. 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Если решили не учитывать права за балансом, используйте порядок признания в бухучете безвозмездно полученных работ и услуг. Такие доходы можно не отражать в учете, если раскроете информацию о них в разделе 2 «Результаты деятельности...» текстовой части Пояснительной записки к годовой бухгалтерской отчетности (</w:t>
      </w:r>
      <w:hyperlink r:id="rId117" w:anchor="/document/99/542619320/XA00M7Q2N3/" w:tooltip="43. Признание в бухгалтерском учете иных доходов от необменных операций при получении работ и услуг, предоставляемые физическими или юридическими лицами субъекту учета посредством...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п. 43 СГС «Доходы»</w:t>
        </w:r>
      </w:hyperlink>
      <w:r w:rsidRPr="00C07BC7">
        <w:rPr>
          <w:rFonts w:ascii="Times New Roman" w:hAnsi="Times New Roman" w:cs="Times New Roman"/>
          <w:lang w:eastAsia="ru-RU"/>
        </w:rPr>
        <w:t>).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учесть прекращение прав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Когда срок действия договора на передачу прав пользования НМА свыше 12 месяцев закончится, стоимость права пользования уменьшите на сумму начисленной амортизации и обесценения за время действия договора. Операции делайте на основании Бухгалтерской справки (</w:t>
      </w:r>
      <w:hyperlink r:id="rId118" w:anchor="/document/140/41229/" w:tooltip="ОКУД 0504833. Бухгалтерская справка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ф. 0504833</w:t>
        </w:r>
      </w:hyperlink>
      <w:r w:rsidRPr="00C07BC7">
        <w:rPr>
          <w:rFonts w:ascii="Times New Roman" w:hAnsi="Times New Roman" w:cs="Times New Roman"/>
          <w:lang w:eastAsia="ru-RU"/>
        </w:rPr>
        <w:t>).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t>Как учесть досрочное расторжение договора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lang w:eastAsia="ru-RU"/>
        </w:rPr>
        <w:lastRenderedPageBreak/>
        <w:t>Расторгли досрочно лицензионный или другой договор на неисключительные права – стоимость принятого на учет права уменьшите на сумму накопленной амортизации. Остальные операции зависят от условий договора: предусмотрен возврат оплаты или нет.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Контрагент оплату возвращает. </w:t>
      </w:r>
      <w:r w:rsidRPr="00C07BC7">
        <w:rPr>
          <w:rFonts w:ascii="Times New Roman" w:hAnsi="Times New Roman" w:cs="Times New Roman"/>
          <w:lang w:eastAsia="ru-RU"/>
        </w:rPr>
        <w:t>Уменьшите остаточную стоимость права пользования обратной проводкой: Дебет 302.26.83Х Кредит 111.6Х.45Х. Если ведете претензионную работу по возврату оплаты, отразите задолженность за контрагентом на </w:t>
      </w:r>
      <w:hyperlink r:id="rId119" w:anchor="/document/99/902249301/ZAP1G44367/" w:tooltip="209 34 Расчеты по доходам от компенсации затрат" w:history="1">
        <w:r w:rsidRPr="00C07BC7">
          <w:rPr>
            <w:rFonts w:ascii="Times New Roman" w:hAnsi="Times New Roman" w:cs="Times New Roman"/>
            <w:color w:val="0D4E5F"/>
            <w:u w:val="single"/>
            <w:lang w:eastAsia="ru-RU"/>
          </w:rPr>
          <w:t>счете 209.34</w:t>
        </w:r>
      </w:hyperlink>
      <w:r w:rsidRPr="00C07BC7">
        <w:rPr>
          <w:rFonts w:ascii="Times New Roman" w:hAnsi="Times New Roman" w:cs="Times New Roman"/>
          <w:lang w:eastAsia="ru-RU"/>
        </w:rPr>
        <w:t>.</w:t>
      </w:r>
    </w:p>
    <w:p w:rsidR="00C07BC7" w:rsidRPr="00C07BC7" w:rsidRDefault="00C07BC7" w:rsidP="00C07BC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07BC7">
        <w:rPr>
          <w:rFonts w:ascii="Times New Roman" w:hAnsi="Times New Roman" w:cs="Times New Roman"/>
          <w:b/>
          <w:bCs/>
          <w:lang w:eastAsia="ru-RU"/>
        </w:rPr>
        <w:t>Контрагент оплату не возвращает. </w:t>
      </w:r>
      <w:r w:rsidRPr="00C07BC7">
        <w:rPr>
          <w:rFonts w:ascii="Times New Roman" w:hAnsi="Times New Roman" w:cs="Times New Roman"/>
          <w:lang w:eastAsia="ru-RU"/>
        </w:rPr>
        <w:t>Остаточную стоимость права пользования спишите на счет 0.401.20.226. Также на этот счет спишите остаток, если поставщик возвращает деньги частично. Важно! До 4 марта 2021 года в Системе была другая позиция – специалисты советовали делать корреспонденцию со счетом 0.401.10.172. Поскольку порядок официально не установлен, согласуйте его с учредителем.</w:t>
      </w:r>
    </w:p>
    <w:p w:rsidR="00943D7E" w:rsidRPr="00C07BC7" w:rsidRDefault="00943D7E" w:rsidP="00C07BC7">
      <w:pPr>
        <w:pStyle w:val="a3"/>
        <w:jc w:val="both"/>
        <w:rPr>
          <w:rFonts w:ascii="Times New Roman" w:hAnsi="Times New Roman" w:cs="Times New Roman"/>
        </w:rPr>
      </w:pPr>
    </w:p>
    <w:sectPr w:rsidR="00943D7E" w:rsidRPr="00C07BC7" w:rsidSect="0072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A4E"/>
    <w:multiLevelType w:val="multilevel"/>
    <w:tmpl w:val="010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03DE"/>
    <w:multiLevelType w:val="multilevel"/>
    <w:tmpl w:val="3AF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76D0"/>
    <w:multiLevelType w:val="multilevel"/>
    <w:tmpl w:val="AF3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1293B"/>
    <w:multiLevelType w:val="multilevel"/>
    <w:tmpl w:val="050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8665D"/>
    <w:multiLevelType w:val="multilevel"/>
    <w:tmpl w:val="A33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544F3"/>
    <w:multiLevelType w:val="multilevel"/>
    <w:tmpl w:val="CE3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400C3"/>
    <w:multiLevelType w:val="multilevel"/>
    <w:tmpl w:val="C50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7E"/>
    <w:rsid w:val="00721785"/>
    <w:rsid w:val="00943D7E"/>
    <w:rsid w:val="00943F80"/>
    <w:rsid w:val="00C0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gosfinansy.ru/" TargetMode="External"/><Relationship Id="rId117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42" Type="http://schemas.openxmlformats.org/officeDocument/2006/relationships/hyperlink" Target="https://vip.gosfinansy.ru/" TargetMode="External"/><Relationship Id="rId47" Type="http://schemas.openxmlformats.org/officeDocument/2006/relationships/hyperlink" Target="https://vip.gosfinansy.ru/" TargetMode="External"/><Relationship Id="rId63" Type="http://schemas.openxmlformats.org/officeDocument/2006/relationships/hyperlink" Target="https://vip.gosfinansy.ru/" TargetMode="External"/><Relationship Id="rId68" Type="http://schemas.openxmlformats.org/officeDocument/2006/relationships/hyperlink" Target="https://vip.gosfinansy.ru/" TargetMode="External"/><Relationship Id="rId84" Type="http://schemas.openxmlformats.org/officeDocument/2006/relationships/hyperlink" Target="https://vip.gosfinansy.ru/" TargetMode="External"/><Relationship Id="rId89" Type="http://schemas.openxmlformats.org/officeDocument/2006/relationships/hyperlink" Target="https://vip.gosfinansy.ru/" TargetMode="External"/><Relationship Id="rId112" Type="http://schemas.openxmlformats.org/officeDocument/2006/relationships/hyperlink" Target="https://vip.gosfinansy.ru/" TargetMode="External"/><Relationship Id="rId16" Type="http://schemas.openxmlformats.org/officeDocument/2006/relationships/hyperlink" Target="https://vip.gosfinansy.ru/" TargetMode="External"/><Relationship Id="rId107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https://vip.gosfinansy.ru/" TargetMode="External"/><Relationship Id="rId74" Type="http://schemas.openxmlformats.org/officeDocument/2006/relationships/hyperlink" Target="https://vip.gosfinansy.ru/" TargetMode="External"/><Relationship Id="rId79" Type="http://schemas.openxmlformats.org/officeDocument/2006/relationships/hyperlink" Target="https://vip.gosfinansy.ru/" TargetMode="External"/><Relationship Id="rId102" Type="http://schemas.openxmlformats.org/officeDocument/2006/relationships/hyperlink" Target="https://vip.gosfinansy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vip.gosfinansy.ru/" TargetMode="External"/><Relationship Id="rId82" Type="http://schemas.openxmlformats.org/officeDocument/2006/relationships/hyperlink" Target="https://vip.gosfinansy.ru/" TargetMode="External"/><Relationship Id="rId90" Type="http://schemas.openxmlformats.org/officeDocument/2006/relationships/hyperlink" Target="https://vip.gosfinansy.ru/" TargetMode="External"/><Relationship Id="rId95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43" Type="http://schemas.openxmlformats.org/officeDocument/2006/relationships/hyperlink" Target="https://vip.gosfinansy.ru/" TargetMode="External"/><Relationship Id="rId48" Type="http://schemas.openxmlformats.org/officeDocument/2006/relationships/hyperlink" Target="https://vip.gosfinansy.ru/" TargetMode="External"/><Relationship Id="rId56" Type="http://schemas.openxmlformats.org/officeDocument/2006/relationships/hyperlink" Target="https://vip.gosfinansy.ru/" TargetMode="External"/><Relationship Id="rId64" Type="http://schemas.openxmlformats.org/officeDocument/2006/relationships/hyperlink" Target="https://vip.gosfinansy.ru/" TargetMode="External"/><Relationship Id="rId69" Type="http://schemas.openxmlformats.org/officeDocument/2006/relationships/hyperlink" Target="https://vip.gosfinansy.ru/" TargetMode="External"/><Relationship Id="rId77" Type="http://schemas.openxmlformats.org/officeDocument/2006/relationships/hyperlink" Target="https://vip.gosfinansy.ru/" TargetMode="External"/><Relationship Id="rId100" Type="http://schemas.openxmlformats.org/officeDocument/2006/relationships/hyperlink" Target="https://vip.gosfinansy.ru/" TargetMode="External"/><Relationship Id="rId105" Type="http://schemas.openxmlformats.org/officeDocument/2006/relationships/hyperlink" Target="https://vip.gosfinansy.ru/" TargetMode="External"/><Relationship Id="rId113" Type="http://schemas.openxmlformats.org/officeDocument/2006/relationships/hyperlink" Target="https://vip.gosfinansy.ru/" TargetMode="External"/><Relationship Id="rId118" Type="http://schemas.openxmlformats.org/officeDocument/2006/relationships/hyperlink" Target="https://vip.gosfinansy.ru/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https://vip.gosfinansy.ru/" TargetMode="External"/><Relationship Id="rId72" Type="http://schemas.openxmlformats.org/officeDocument/2006/relationships/hyperlink" Target="https://vip.gosfinansy.ru/" TargetMode="External"/><Relationship Id="rId80" Type="http://schemas.openxmlformats.org/officeDocument/2006/relationships/hyperlink" Target="https://vip.gosfinansy.ru/" TargetMode="External"/><Relationship Id="rId85" Type="http://schemas.openxmlformats.org/officeDocument/2006/relationships/hyperlink" Target="https://vip.gosfinansy.ru/" TargetMode="External"/><Relationship Id="rId93" Type="http://schemas.openxmlformats.org/officeDocument/2006/relationships/hyperlink" Target="https://vip.gosfinansy.ru/" TargetMode="External"/><Relationship Id="rId98" Type="http://schemas.openxmlformats.org/officeDocument/2006/relationships/hyperlink" Target="https://vip.gosfinansy.ru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Relationship Id="rId46" Type="http://schemas.openxmlformats.org/officeDocument/2006/relationships/hyperlink" Target="https://vip.gosfinansy.ru/" TargetMode="External"/><Relationship Id="rId59" Type="http://schemas.openxmlformats.org/officeDocument/2006/relationships/hyperlink" Target="https://vip.gosfinansy.ru/" TargetMode="External"/><Relationship Id="rId67" Type="http://schemas.openxmlformats.org/officeDocument/2006/relationships/hyperlink" Target="https://vip.gosfinansy.ru/" TargetMode="External"/><Relationship Id="rId103" Type="http://schemas.openxmlformats.org/officeDocument/2006/relationships/hyperlink" Target="https://vip.gosfinansy.ru/" TargetMode="External"/><Relationship Id="rId108" Type="http://schemas.openxmlformats.org/officeDocument/2006/relationships/hyperlink" Target="https://vip.gosfinansy.ru/" TargetMode="External"/><Relationship Id="rId1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54" Type="http://schemas.openxmlformats.org/officeDocument/2006/relationships/hyperlink" Target="https://vip.gosfinansy.ru/" TargetMode="External"/><Relationship Id="rId62" Type="http://schemas.openxmlformats.org/officeDocument/2006/relationships/hyperlink" Target="https://vip.gosfinansy.ru/" TargetMode="External"/><Relationship Id="rId70" Type="http://schemas.openxmlformats.org/officeDocument/2006/relationships/hyperlink" Target="https://vip.gosfinansy.ru/" TargetMode="External"/><Relationship Id="rId75" Type="http://schemas.openxmlformats.org/officeDocument/2006/relationships/hyperlink" Target="https://vip.gosfinansy.ru/" TargetMode="External"/><Relationship Id="rId83" Type="http://schemas.openxmlformats.org/officeDocument/2006/relationships/hyperlink" Target="https://vip.gosfinansy.ru/" TargetMode="External"/><Relationship Id="rId88" Type="http://schemas.openxmlformats.org/officeDocument/2006/relationships/hyperlink" Target="https://vip.gosfinansy.ru/" TargetMode="External"/><Relationship Id="rId91" Type="http://schemas.openxmlformats.org/officeDocument/2006/relationships/hyperlink" Target="https://vip.gosfinansy.ru/" TargetMode="External"/><Relationship Id="rId96" Type="http://schemas.openxmlformats.org/officeDocument/2006/relationships/hyperlink" Target="https://vip.gosfinansy.ru/" TargetMode="External"/><Relationship Id="rId111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49" Type="http://schemas.openxmlformats.org/officeDocument/2006/relationships/hyperlink" Target="https://vip.gosfinansy.ru/" TargetMode="External"/><Relationship Id="rId57" Type="http://schemas.openxmlformats.org/officeDocument/2006/relationships/hyperlink" Target="https://vip.gosfinansy.ru/" TargetMode="External"/><Relationship Id="rId106" Type="http://schemas.openxmlformats.org/officeDocument/2006/relationships/hyperlink" Target="https://vip.gosfinansy.ru/" TargetMode="External"/><Relationship Id="rId114" Type="http://schemas.openxmlformats.org/officeDocument/2006/relationships/hyperlink" Target="https://vip.gosfinansy.ru/" TargetMode="External"/><Relationship Id="rId119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4" Type="http://schemas.openxmlformats.org/officeDocument/2006/relationships/hyperlink" Target="https://vip.gosfinansy.ru/" TargetMode="External"/><Relationship Id="rId52" Type="http://schemas.openxmlformats.org/officeDocument/2006/relationships/hyperlink" Target="https://vip.gosfinansy.ru/" TargetMode="External"/><Relationship Id="rId60" Type="http://schemas.openxmlformats.org/officeDocument/2006/relationships/hyperlink" Target="https://vip.gosfinansy.ru/" TargetMode="External"/><Relationship Id="rId65" Type="http://schemas.openxmlformats.org/officeDocument/2006/relationships/hyperlink" Target="https://vip.gosfinansy.ru/" TargetMode="External"/><Relationship Id="rId73" Type="http://schemas.openxmlformats.org/officeDocument/2006/relationships/hyperlink" Target="https://vip.gosfinansy.ru/" TargetMode="External"/><Relationship Id="rId78" Type="http://schemas.openxmlformats.org/officeDocument/2006/relationships/hyperlink" Target="https://vip.gosfinansy.ru/" TargetMode="External"/><Relationship Id="rId81" Type="http://schemas.openxmlformats.org/officeDocument/2006/relationships/hyperlink" Target="https://vip.gosfinansy.ru/" TargetMode="External"/><Relationship Id="rId86" Type="http://schemas.openxmlformats.org/officeDocument/2006/relationships/hyperlink" Target="https://vip.gosfinansy.ru/" TargetMode="External"/><Relationship Id="rId94" Type="http://schemas.openxmlformats.org/officeDocument/2006/relationships/hyperlink" Target="https://vip.gosfinansy.ru/" TargetMode="External"/><Relationship Id="rId99" Type="http://schemas.openxmlformats.org/officeDocument/2006/relationships/hyperlink" Target="https://vip.gosfinansy.ru/" TargetMode="External"/><Relationship Id="rId10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109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50" Type="http://schemas.openxmlformats.org/officeDocument/2006/relationships/hyperlink" Target="https://vip.gosfinansy.ru/" TargetMode="External"/><Relationship Id="rId55" Type="http://schemas.openxmlformats.org/officeDocument/2006/relationships/hyperlink" Target="https://vip.gosfinansy.ru/" TargetMode="External"/><Relationship Id="rId76" Type="http://schemas.openxmlformats.org/officeDocument/2006/relationships/hyperlink" Target="https://vip.gosfinansy.ru/" TargetMode="External"/><Relationship Id="rId97" Type="http://schemas.openxmlformats.org/officeDocument/2006/relationships/hyperlink" Target="https://vip.gosfinansy.ru/" TargetMode="External"/><Relationship Id="rId104" Type="http://schemas.openxmlformats.org/officeDocument/2006/relationships/hyperlink" Target="https://vip.gosfinansy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ip.gosfinansy.ru/" TargetMode="External"/><Relationship Id="rId71" Type="http://schemas.openxmlformats.org/officeDocument/2006/relationships/hyperlink" Target="https://vip.gosfinansy.ru/" TargetMode="External"/><Relationship Id="rId9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45" Type="http://schemas.openxmlformats.org/officeDocument/2006/relationships/hyperlink" Target="https://vip.gosfinansy.ru/" TargetMode="External"/><Relationship Id="rId66" Type="http://schemas.openxmlformats.org/officeDocument/2006/relationships/hyperlink" Target="https://vip.gosfinansy.ru/" TargetMode="External"/><Relationship Id="rId87" Type="http://schemas.openxmlformats.org/officeDocument/2006/relationships/hyperlink" Target="https://vip.gosfinansy.ru/" TargetMode="External"/><Relationship Id="rId110" Type="http://schemas.openxmlformats.org/officeDocument/2006/relationships/hyperlink" Target="https://vip.gosfinansy.ru/" TargetMode="External"/><Relationship Id="rId115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4987</Words>
  <Characters>28430</Characters>
  <Application>Microsoft Office Word</Application>
  <DocSecurity>0</DocSecurity>
  <Lines>236</Lines>
  <Paragraphs>66</Paragraphs>
  <ScaleCrop>false</ScaleCrop>
  <Company>Microsoft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Таня</cp:lastModifiedBy>
  <cp:revision>2</cp:revision>
  <cp:lastPrinted>2021-12-30T08:41:00Z</cp:lastPrinted>
  <dcterms:created xsi:type="dcterms:W3CDTF">2021-12-30T09:00:00Z</dcterms:created>
  <dcterms:modified xsi:type="dcterms:W3CDTF">2021-12-30T09:00:00Z</dcterms:modified>
</cp:coreProperties>
</file>